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39CCA" w14:textId="5B23F620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3454FC"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="009F7E6E" w:rsidRPr="009F7E6E">
        <w:rPr>
          <w:noProof w:val="0"/>
          <w:sz w:val="24"/>
          <w:szCs w:val="24"/>
        </w:rPr>
        <w:t>Meeting #1</w:t>
      </w:r>
      <w:r w:rsidR="00AF4A8E">
        <w:rPr>
          <w:noProof w:val="0"/>
          <w:sz w:val="24"/>
          <w:szCs w:val="24"/>
        </w:rPr>
        <w:t>1</w:t>
      </w:r>
      <w:r w:rsidR="00B746AA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3454FC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797D4B">
        <w:rPr>
          <w:bCs/>
          <w:noProof w:val="0"/>
          <w:sz w:val="24"/>
          <w:szCs w:val="24"/>
        </w:rPr>
        <w:t>2</w:t>
      </w:r>
      <w:r w:rsidR="007F2676">
        <w:rPr>
          <w:bCs/>
          <w:noProof w:val="0"/>
          <w:sz w:val="24"/>
          <w:szCs w:val="24"/>
        </w:rPr>
        <w:t>2</w:t>
      </w:r>
      <w:r w:rsidR="00016B73">
        <w:rPr>
          <w:bCs/>
          <w:noProof w:val="0"/>
          <w:sz w:val="24"/>
          <w:szCs w:val="24"/>
        </w:rPr>
        <w:t>6209</w:t>
      </w:r>
    </w:p>
    <w:p w14:paraId="1822B173" w14:textId="30627C80" w:rsidR="00CD4C7B" w:rsidRPr="00B1063A" w:rsidRDefault="00B03359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bookmarkStart w:id="1" w:name="_Hlk490060723"/>
      <w:r>
        <w:rPr>
          <w:rFonts w:cs="Arial"/>
          <w:sz w:val="24"/>
          <w:szCs w:val="24"/>
          <w:lang w:val="en-US"/>
        </w:rPr>
        <w:t>Toulouse, France</w:t>
      </w:r>
      <w:r w:rsidR="001370F2" w:rsidRPr="00B1063A">
        <w:rPr>
          <w:rFonts w:cs="Arial"/>
          <w:sz w:val="24"/>
          <w:szCs w:val="24"/>
          <w:lang w:val="en-US"/>
        </w:rPr>
        <w:t xml:space="preserve">, </w:t>
      </w:r>
      <w:bookmarkEnd w:id="1"/>
      <w:r w:rsidR="00B746AA" w:rsidRPr="00B746AA">
        <w:rPr>
          <w:rFonts w:cs="Arial"/>
          <w:sz w:val="24"/>
          <w:szCs w:val="24"/>
          <w:lang w:val="en-US"/>
        </w:rPr>
        <w:t>14 – 18 November</w:t>
      </w:r>
      <w:r w:rsidR="007F2676" w:rsidRPr="000804F0">
        <w:rPr>
          <w:rFonts w:cs="Arial"/>
          <w:sz w:val="24"/>
          <w:szCs w:val="24"/>
          <w:lang w:val="en-US"/>
        </w:rPr>
        <w:t>, 202</w:t>
      </w:r>
      <w:r w:rsidR="007F2676">
        <w:rPr>
          <w:rFonts w:cs="Arial"/>
          <w:sz w:val="24"/>
          <w:szCs w:val="24"/>
          <w:lang w:val="en-US"/>
        </w:rPr>
        <w:t>2</w:t>
      </w:r>
    </w:p>
    <w:p w14:paraId="05FE47DF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0717E73E" w14:textId="77777777" w:rsidR="00CD4C7B" w:rsidRPr="00B1063A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3B0EF5F6" w14:textId="1D0AB384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3629D">
        <w:rPr>
          <w:rFonts w:cs="Arial"/>
          <w:b/>
          <w:bCs/>
          <w:sz w:val="24"/>
          <w:lang w:val="en-US" w:eastAsia="ja-JP"/>
        </w:rPr>
        <w:t>11.2</w:t>
      </w:r>
    </w:p>
    <w:p w14:paraId="47FEC04C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05563E">
        <w:rPr>
          <w:rFonts w:ascii="Arial" w:hAnsi="Arial" w:cs="Arial"/>
          <w:b/>
          <w:bCs/>
          <w:sz w:val="24"/>
        </w:rPr>
        <w:t xml:space="preserve">Nokia, </w:t>
      </w:r>
      <w:r w:rsidR="005D4274">
        <w:rPr>
          <w:rFonts w:ascii="Arial" w:hAnsi="Arial" w:cs="Arial"/>
          <w:b/>
          <w:bCs/>
          <w:sz w:val="24"/>
        </w:rPr>
        <w:t>Nokia</w:t>
      </w:r>
      <w:r w:rsidR="0005563E"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13240CF6" w14:textId="78F4EC8F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3629D">
        <w:rPr>
          <w:rFonts w:ascii="Arial" w:hAnsi="Arial" w:cs="Arial"/>
          <w:b/>
          <w:bCs/>
          <w:sz w:val="24"/>
        </w:rPr>
        <w:t>Discussion on high mobility scenarios</w:t>
      </w:r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F11288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860E0D2" w14:textId="221D06D5" w:rsidR="00CD4C7B" w:rsidRDefault="0083629D" w:rsidP="00CD4C7B">
      <w:r>
        <w:t>RAN3#117bis-e discussed support of high mobility scenarios with the following outcome:</w:t>
      </w:r>
    </w:p>
    <w:p w14:paraId="5BC05E8D" w14:textId="77777777" w:rsidR="0083629D" w:rsidRDefault="0083629D" w:rsidP="0083629D">
      <w:pPr>
        <w:rPr>
          <w:rFonts w:ascii="Calibri" w:hAnsi="Calibri" w:cs="Calibri"/>
          <w:i/>
          <w:iCs/>
          <w:color w:val="00B050"/>
          <w:kern w:val="2"/>
          <w:sz w:val="16"/>
          <w:szCs w:val="16"/>
        </w:rPr>
      </w:pPr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OAM should have the flexibility to collect </w:t>
      </w:r>
      <w:proofErr w:type="spellStart"/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QoE</w:t>
      </w:r>
      <w:proofErr w:type="spellEnd"/>
      <w:r w:rsidRPr="00224B22"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 xml:space="preserve"> only in high mobility scenarios and/or in HSDN cells instead of collecting blindly.</w:t>
      </w:r>
    </w:p>
    <w:p w14:paraId="4E9BD82B" w14:textId="34989841" w:rsidR="0083629D" w:rsidRPr="0083629D" w:rsidRDefault="0083629D" w:rsidP="00CD4C7B">
      <w:pPr>
        <w:rPr>
          <w:rFonts w:ascii="Calibri" w:hAnsi="Calibri" w:cs="Calibri"/>
          <w:i/>
          <w:color w:val="0070C0"/>
          <w:sz w:val="16"/>
          <w:szCs w:val="16"/>
        </w:rPr>
      </w:pPr>
      <w:r w:rsidRPr="0083629D">
        <w:rPr>
          <w:rFonts w:ascii="Calibri" w:hAnsi="Calibri" w:cs="Calibri"/>
          <w:i/>
          <w:color w:val="0070C0"/>
          <w:sz w:val="16"/>
          <w:szCs w:val="16"/>
        </w:rPr>
        <w:t xml:space="preserve">FFS on </w:t>
      </w:r>
      <w:bookmarkStart w:id="2" w:name="_Hlk118052148"/>
      <w:r w:rsidRPr="0083629D">
        <w:rPr>
          <w:rFonts w:ascii="Calibri" w:hAnsi="Calibri" w:cs="Calibri"/>
          <w:i/>
          <w:color w:val="0070C0"/>
          <w:sz w:val="16"/>
          <w:szCs w:val="16"/>
        </w:rPr>
        <w:t>enhancements are needed to support the high mobility scenario requirement</w:t>
      </w:r>
      <w:bookmarkEnd w:id="2"/>
      <w:r w:rsidRPr="0083629D">
        <w:rPr>
          <w:rFonts w:ascii="Calibri" w:hAnsi="Calibri" w:cs="Calibri"/>
          <w:i/>
          <w:color w:val="0070C0"/>
          <w:sz w:val="16"/>
          <w:szCs w:val="16"/>
        </w:rPr>
        <w:t>.</w:t>
      </w:r>
    </w:p>
    <w:p w14:paraId="5D15D080" w14:textId="6715819A" w:rsidR="0083629D" w:rsidRDefault="0083629D" w:rsidP="00CD4C7B">
      <w:r>
        <w:t>We here provide our view on thi</w:t>
      </w:r>
      <w:r w:rsidRPr="0083629D">
        <w:t>s</w:t>
      </w:r>
      <w:r>
        <w:t xml:space="preserve"> FFS.</w:t>
      </w:r>
    </w:p>
    <w:p w14:paraId="479DA40B" w14:textId="77777777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972FD7">
        <w:t>Discussion</w:t>
      </w:r>
    </w:p>
    <w:p w14:paraId="05AB05FA" w14:textId="75976F7C" w:rsidR="00CD4C7B" w:rsidRDefault="0083629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A </w:t>
      </w:r>
      <w:proofErr w:type="gramStart"/>
      <w:r w:rsidRPr="0083629D">
        <w:rPr>
          <w:rFonts w:ascii="Times New Roman" w:hAnsi="Times New Roman"/>
          <w:sz w:val="20"/>
          <w:lang w:val="en-GB"/>
        </w:rPr>
        <w:t>High Speed</w:t>
      </w:r>
      <w:proofErr w:type="gramEnd"/>
      <w:r w:rsidRPr="0083629D">
        <w:rPr>
          <w:rFonts w:ascii="Times New Roman" w:hAnsi="Times New Roman"/>
          <w:sz w:val="20"/>
          <w:lang w:val="en-GB"/>
        </w:rPr>
        <w:t xml:space="preserve"> Dedicated Network </w:t>
      </w:r>
      <w:r>
        <w:rPr>
          <w:rFonts w:ascii="Times New Roman" w:hAnsi="Times New Roman"/>
          <w:sz w:val="20"/>
          <w:lang w:val="en-GB"/>
        </w:rPr>
        <w:t>(HSDN) cell is defined as follows in TS 38.304:</w:t>
      </w:r>
    </w:p>
    <w:p w14:paraId="51A9DA35" w14:textId="7C2514FE" w:rsidR="0083629D" w:rsidRDefault="0083629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45FEFEA" w14:textId="77777777" w:rsidR="0083629D" w:rsidRPr="00D57EA8" w:rsidRDefault="0083629D" w:rsidP="0083629D">
      <w:pPr>
        <w:rPr>
          <w:rFonts w:eastAsia="MS Mincho"/>
        </w:rPr>
      </w:pPr>
      <w:r w:rsidRPr="00D57EA8">
        <w:rPr>
          <w:rFonts w:eastAsia="MS Mincho"/>
          <w:b/>
        </w:rPr>
        <w:t>HSDN cell</w:t>
      </w:r>
      <w:r w:rsidRPr="00D57EA8">
        <w:rPr>
          <w:rFonts w:eastAsia="MS Mincho"/>
        </w:rPr>
        <w:t>: A cell that has higher priority than other cells for cell reselection for HSDN capable UE in a High-mobility state.</w:t>
      </w:r>
    </w:p>
    <w:p w14:paraId="2C213639" w14:textId="77777777" w:rsidR="002F7F39" w:rsidRDefault="0083629D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operator may deploy HSDN cells in order to provide suitable radio coverage for 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high-speed railway lines. </w:t>
      </w:r>
      <w:r w:rsidR="002F7F39">
        <w:rPr>
          <w:rFonts w:ascii="Times New Roman" w:hAnsi="Times New Roman"/>
          <w:sz w:val="20"/>
          <w:lang w:val="en-GB"/>
        </w:rPr>
        <w:t>TS 38.304 gives the following requirements for idle mode mobility in areas where HSDN cells are deployed:</w:t>
      </w:r>
    </w:p>
    <w:p w14:paraId="6E91118A" w14:textId="77777777" w:rsidR="002F7F39" w:rsidRPr="002F7F39" w:rsidRDefault="002F7F39" w:rsidP="002F7F39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i/>
          <w:iCs/>
          <w:sz w:val="20"/>
          <w:lang w:val="en-GB"/>
        </w:rPr>
      </w:pPr>
      <w:r w:rsidRPr="002F7F39">
        <w:rPr>
          <w:rFonts w:ascii="Times New Roman" w:hAnsi="Times New Roman"/>
          <w:i/>
          <w:iCs/>
          <w:sz w:val="20"/>
          <w:lang w:val="en-GB"/>
        </w:rPr>
        <w:t>When the HSDN capable UE is in High-mobility state, the UE shall always consider the HSDN cells to be the highest priority (i.e., higher than any other network configured priorities).</w:t>
      </w:r>
    </w:p>
    <w:p w14:paraId="1143A278" w14:textId="16FC77EA" w:rsidR="002F7F39" w:rsidRPr="002F7F39" w:rsidRDefault="002F7F39" w:rsidP="002F7F39">
      <w:pPr>
        <w:pStyle w:val="00BodyText"/>
        <w:numPr>
          <w:ilvl w:val="0"/>
          <w:numId w:val="5"/>
        </w:numPr>
        <w:spacing w:after="0"/>
        <w:rPr>
          <w:rFonts w:ascii="Times New Roman" w:hAnsi="Times New Roman"/>
          <w:i/>
          <w:iCs/>
          <w:sz w:val="20"/>
          <w:lang w:val="en-GB"/>
        </w:rPr>
      </w:pPr>
      <w:r w:rsidRPr="002F7F39">
        <w:rPr>
          <w:rFonts w:ascii="Times New Roman" w:hAnsi="Times New Roman"/>
          <w:i/>
          <w:iCs/>
          <w:sz w:val="20"/>
          <w:lang w:val="en-GB"/>
        </w:rPr>
        <w:t>When the HSDN capable UE is not in High-mobility state, the UE shall always consider HSDN cells to be the lowest priority (i.e., lower than any other network configured priorities).</w:t>
      </w:r>
    </w:p>
    <w:p w14:paraId="71D598C0" w14:textId="77777777" w:rsidR="002F7F39" w:rsidRDefault="002F7F3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B15246C" w14:textId="46D730FD" w:rsidR="00543FD5" w:rsidRDefault="00543FD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The cell indicates to the UE in SIB1 whether it is a HSDN cell:</w:t>
      </w:r>
    </w:p>
    <w:p w14:paraId="48F6E6C7" w14:textId="77777777" w:rsidR="00543FD5" w:rsidRPr="00543FD5" w:rsidRDefault="00543FD5" w:rsidP="00543F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543FD5">
        <w:rPr>
          <w:rFonts w:ascii="Courier New" w:hAnsi="Courier New"/>
          <w:noProof/>
          <w:sz w:val="16"/>
          <w:lang w:eastAsia="en-GB"/>
        </w:rPr>
        <w:t xml:space="preserve">SIB1-v1700-IEs ::=               </w:t>
      </w:r>
      <w:r w:rsidRPr="00543FD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543FD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003F74" w14:textId="5084D9CA" w:rsidR="00543FD5" w:rsidRDefault="00543FD5" w:rsidP="00543F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543FD5">
        <w:rPr>
          <w:rFonts w:ascii="Courier New" w:hAnsi="Courier New"/>
          <w:noProof/>
          <w:sz w:val="16"/>
          <w:lang w:eastAsia="en-GB"/>
        </w:rPr>
        <w:t xml:space="preserve">    hsdn-Cell-r17                        </w:t>
      </w:r>
      <w:r w:rsidRPr="00543FD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543FD5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543FD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543FD5">
        <w:rPr>
          <w:rFonts w:ascii="Courier New" w:hAnsi="Courier New"/>
          <w:noProof/>
          <w:sz w:val="16"/>
          <w:lang w:eastAsia="en-GB"/>
        </w:rPr>
        <w:t xml:space="preserve">,  </w:t>
      </w:r>
      <w:r w:rsidRPr="00543FD5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3A3EE61" w14:textId="3375FE1F" w:rsidR="00543FD5" w:rsidRPr="00543FD5" w:rsidRDefault="00543FD5" w:rsidP="00543FD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>
        <w:rPr>
          <w:rFonts w:ascii="Courier New" w:hAnsi="Courier New"/>
          <w:noProof/>
          <w:color w:val="808080"/>
          <w:sz w:val="16"/>
          <w:lang w:eastAsia="en-GB"/>
        </w:rPr>
        <w:t>...</w:t>
      </w:r>
    </w:p>
    <w:p w14:paraId="487F2F41" w14:textId="77777777" w:rsidR="00543FD5" w:rsidRDefault="00543FD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449EC1A5" w14:textId="77777777" w:rsidR="00543FD5" w:rsidRPr="00B55E3E" w:rsidRDefault="00543FD5" w:rsidP="00543FD5">
      <w:pPr>
        <w:pStyle w:val="TAL"/>
        <w:rPr>
          <w:b/>
          <w:i/>
          <w:lang w:eastAsia="en-GB"/>
        </w:rPr>
      </w:pPr>
      <w:proofErr w:type="spellStart"/>
      <w:r w:rsidRPr="00B55E3E">
        <w:rPr>
          <w:b/>
          <w:i/>
          <w:lang w:eastAsia="zh-CN"/>
        </w:rPr>
        <w:t>hsdn</w:t>
      </w:r>
      <w:proofErr w:type="spellEnd"/>
      <w:r w:rsidRPr="00B55E3E">
        <w:rPr>
          <w:b/>
          <w:i/>
          <w:lang w:eastAsia="zh-CN"/>
        </w:rPr>
        <w:t>-</w:t>
      </w:r>
      <w:r w:rsidRPr="00B55E3E">
        <w:rPr>
          <w:b/>
          <w:i/>
          <w:lang w:eastAsia="en-GB"/>
        </w:rPr>
        <w:t>Cell</w:t>
      </w:r>
    </w:p>
    <w:p w14:paraId="192F63DB" w14:textId="1977A2D9" w:rsidR="00543FD5" w:rsidRDefault="00543FD5" w:rsidP="00543FD5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 w:rsidRPr="00B55E3E">
        <w:t>This field indicates this is a HSDN cell as specified in TS 38.304 [20].</w:t>
      </w:r>
    </w:p>
    <w:p w14:paraId="5EF410A9" w14:textId="77777777" w:rsidR="00543FD5" w:rsidRDefault="00543FD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A2E6C7A" w14:textId="77777777" w:rsidR="00543FD5" w:rsidRDefault="00543FD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35A34A23" w14:textId="4522FC1B" w:rsidR="0083629D" w:rsidRDefault="002F7F39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>NR UEs also support the Mobility State mechanism inherited from LTE</w:t>
      </w:r>
      <w:r w:rsidR="008D5234">
        <w:rPr>
          <w:rFonts w:ascii="Times New Roman" w:hAnsi="Times New Roman"/>
          <w:sz w:val="20"/>
          <w:lang w:val="en-GB"/>
        </w:rPr>
        <w:t>, configurable by the network (</w:t>
      </w:r>
      <w:proofErr w:type="spellStart"/>
      <w:r w:rsidR="008D5234" w:rsidRPr="008D5234">
        <w:rPr>
          <w:rFonts w:ascii="Times New Roman" w:hAnsi="Times New Roman"/>
          <w:i/>
          <w:iCs/>
          <w:sz w:val="20"/>
          <w:lang w:val="en-GB"/>
        </w:rPr>
        <w:t>speedStateReselectionPars</w:t>
      </w:r>
      <w:proofErr w:type="spellEnd"/>
      <w:r w:rsidR="008D5234" w:rsidRPr="008D5234">
        <w:rPr>
          <w:rFonts w:ascii="Times New Roman" w:hAnsi="Times New Roman"/>
          <w:sz w:val="20"/>
          <w:lang w:val="en-GB"/>
        </w:rPr>
        <w:t xml:space="preserve"> </w:t>
      </w:r>
      <w:r w:rsidR="008D5234">
        <w:rPr>
          <w:rFonts w:ascii="Times New Roman" w:hAnsi="Times New Roman"/>
          <w:sz w:val="20"/>
          <w:lang w:val="en-GB"/>
        </w:rPr>
        <w:t xml:space="preserve">broadcast </w:t>
      </w:r>
      <w:r w:rsidR="008D5234" w:rsidRPr="008D5234">
        <w:rPr>
          <w:rFonts w:ascii="Times New Roman" w:hAnsi="Times New Roman"/>
          <w:sz w:val="20"/>
          <w:lang w:val="en-GB"/>
        </w:rPr>
        <w:t xml:space="preserve">in </w:t>
      </w:r>
      <w:r w:rsidR="008D5234" w:rsidRPr="008D5234">
        <w:rPr>
          <w:rFonts w:ascii="Times New Roman" w:hAnsi="Times New Roman"/>
          <w:i/>
          <w:iCs/>
          <w:sz w:val="20"/>
          <w:lang w:val="en-GB"/>
        </w:rPr>
        <w:t>SIB2</w:t>
      </w:r>
      <w:r w:rsidR="008D5234">
        <w:rPr>
          <w:rFonts w:ascii="Times New Roman" w:hAnsi="Times New Roman"/>
          <w:sz w:val="20"/>
          <w:lang w:val="en-GB"/>
        </w:rPr>
        <w:t>). TS 38.331:</w:t>
      </w:r>
    </w:p>
    <w:p w14:paraId="74A7947B" w14:textId="77777777" w:rsidR="008D5234" w:rsidRPr="00B55E3E" w:rsidRDefault="008D5234" w:rsidP="008D5234">
      <w:pPr>
        <w:pStyle w:val="PL"/>
      </w:pPr>
      <w:r w:rsidRPr="00B55E3E">
        <w:t xml:space="preserve">    mobilityState-r16                       </w:t>
      </w:r>
      <w:r w:rsidRPr="00B55E3E">
        <w:rPr>
          <w:color w:val="993366"/>
        </w:rPr>
        <w:t>ENUMERATED</w:t>
      </w:r>
      <w:r w:rsidRPr="00B55E3E">
        <w:t xml:space="preserve"> {normal, medium, high, spare}                                </w:t>
      </w:r>
      <w:r w:rsidRPr="00B55E3E">
        <w:rPr>
          <w:color w:val="993366"/>
        </w:rPr>
        <w:t>OPTIONAL</w:t>
      </w:r>
      <w:r w:rsidRPr="00B55E3E">
        <w:t>,</w:t>
      </w:r>
    </w:p>
    <w:p w14:paraId="54B9BF5D" w14:textId="13A40E5B" w:rsidR="008D5234" w:rsidRDefault="008D523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51098424" w14:textId="11A98C7D" w:rsidR="008D5234" w:rsidRDefault="008D523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Definition of these states is given in TS 38.304. However, it is our understanding that this legacy Mobility State mechanism is not </w:t>
      </w:r>
      <w:r w:rsidR="00304169">
        <w:rPr>
          <w:rFonts w:ascii="Times New Roman" w:hAnsi="Times New Roman"/>
          <w:sz w:val="20"/>
          <w:lang w:val="en-GB"/>
        </w:rPr>
        <w:t xml:space="preserve">very </w:t>
      </w:r>
      <w:r>
        <w:rPr>
          <w:rFonts w:ascii="Times New Roman" w:hAnsi="Times New Roman"/>
          <w:sz w:val="20"/>
          <w:lang w:val="en-GB"/>
        </w:rPr>
        <w:t xml:space="preserve">reliable </w:t>
      </w:r>
      <w:r w:rsidR="002B0258">
        <w:rPr>
          <w:rFonts w:ascii="Times New Roman" w:hAnsi="Times New Roman"/>
          <w:sz w:val="20"/>
          <w:lang w:val="en-GB"/>
        </w:rPr>
        <w:t xml:space="preserve">and only allows for detecting whether UEs are “slow” or “fast”, and hence may not be </w:t>
      </w:r>
      <w:r w:rsidR="00B34EFE">
        <w:rPr>
          <w:rFonts w:ascii="Times New Roman" w:hAnsi="Times New Roman"/>
          <w:sz w:val="20"/>
          <w:lang w:val="en-GB"/>
        </w:rPr>
        <w:t xml:space="preserve">suitable </w:t>
      </w:r>
      <w:r>
        <w:rPr>
          <w:rFonts w:ascii="Times New Roman" w:hAnsi="Times New Roman"/>
          <w:sz w:val="20"/>
          <w:lang w:val="en-GB"/>
        </w:rPr>
        <w:t xml:space="preserve">for the high mobility scenarios targeted by the ongoing Rel-18 work for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>.</w:t>
      </w:r>
    </w:p>
    <w:p w14:paraId="752040D2" w14:textId="302AD28F" w:rsidR="008D5234" w:rsidRDefault="008D523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5DC777C" w14:textId="307F457E" w:rsidR="008D5234" w:rsidRPr="008D5234" w:rsidRDefault="008D5234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8D5234">
        <w:rPr>
          <w:rFonts w:ascii="Times New Roman" w:hAnsi="Times New Roman"/>
          <w:b/>
          <w:bCs/>
          <w:sz w:val="20"/>
          <w:lang w:val="en-GB"/>
        </w:rPr>
        <w:t xml:space="preserve">Observation 1: The legacy Mobility State mechanism inherited from LTE </w:t>
      </w:r>
      <w:r w:rsidR="002B0258">
        <w:rPr>
          <w:rFonts w:ascii="Times New Roman" w:hAnsi="Times New Roman"/>
          <w:b/>
          <w:bCs/>
          <w:sz w:val="20"/>
          <w:lang w:val="en-GB"/>
        </w:rPr>
        <w:t>may not be</w:t>
      </w:r>
      <w:r w:rsidRPr="008D5234">
        <w:rPr>
          <w:rFonts w:ascii="Times New Roman" w:hAnsi="Times New Roman"/>
          <w:b/>
          <w:bCs/>
          <w:sz w:val="20"/>
          <w:lang w:val="en-GB"/>
        </w:rPr>
        <w:t xml:space="preserve"> </w:t>
      </w:r>
      <w:r w:rsidR="00B34EFE">
        <w:rPr>
          <w:rFonts w:ascii="Times New Roman" w:hAnsi="Times New Roman"/>
          <w:b/>
          <w:bCs/>
          <w:sz w:val="20"/>
          <w:lang w:val="en-GB"/>
        </w:rPr>
        <w:t xml:space="preserve">sufficiently </w:t>
      </w:r>
      <w:r w:rsidRPr="008D5234">
        <w:rPr>
          <w:rFonts w:ascii="Times New Roman" w:hAnsi="Times New Roman"/>
          <w:b/>
          <w:bCs/>
          <w:sz w:val="20"/>
          <w:lang w:val="en-GB"/>
        </w:rPr>
        <w:t xml:space="preserve">reliable for the high mobility scenarios targeted by the ongoing Rel-18 work for </w:t>
      </w:r>
      <w:proofErr w:type="spellStart"/>
      <w:r w:rsidRPr="008D5234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8D5234">
        <w:rPr>
          <w:rFonts w:ascii="Times New Roman" w:hAnsi="Times New Roman"/>
          <w:b/>
          <w:bCs/>
          <w:sz w:val="20"/>
          <w:lang w:val="en-GB"/>
        </w:rPr>
        <w:t>.</w:t>
      </w:r>
    </w:p>
    <w:p w14:paraId="71886733" w14:textId="7E367B8B" w:rsidR="008D5234" w:rsidRDefault="008D523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2D2BDF90" w14:textId="77777777" w:rsidR="00543FD5" w:rsidRDefault="008D5234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proofErr w:type="gramStart"/>
      <w:r>
        <w:rPr>
          <w:rFonts w:ascii="Times New Roman" w:hAnsi="Times New Roman"/>
          <w:sz w:val="20"/>
          <w:lang w:val="en-GB"/>
        </w:rPr>
        <w:lastRenderedPageBreak/>
        <w:t>In order to</w:t>
      </w:r>
      <w:proofErr w:type="gramEnd"/>
      <w:r>
        <w:rPr>
          <w:rFonts w:ascii="Times New Roman" w:hAnsi="Times New Roman"/>
          <w:sz w:val="20"/>
          <w:lang w:val="en-GB"/>
        </w:rPr>
        <w:t xml:space="preserve"> evaluate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in high mobility scenarios, the operator will in practice need to collect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information from both </w:t>
      </w:r>
      <w:r w:rsidRPr="008D5234">
        <w:rPr>
          <w:rFonts w:ascii="Times New Roman" w:hAnsi="Times New Roman"/>
          <w:sz w:val="20"/>
          <w:lang w:val="en-GB"/>
        </w:rPr>
        <w:t>HSDN capable UE</w:t>
      </w:r>
      <w:r>
        <w:rPr>
          <w:rFonts w:ascii="Times New Roman" w:hAnsi="Times New Roman"/>
          <w:sz w:val="20"/>
          <w:lang w:val="en-GB"/>
        </w:rPr>
        <w:t xml:space="preserve">s and UEs that are not HSDN capable. </w:t>
      </w:r>
      <w:r w:rsidR="00543FD5">
        <w:rPr>
          <w:rFonts w:ascii="Times New Roman" w:hAnsi="Times New Roman"/>
          <w:sz w:val="20"/>
          <w:lang w:val="en-GB"/>
        </w:rPr>
        <w:t xml:space="preserve">A configuration parameter provided to the UE </w:t>
      </w:r>
      <w:proofErr w:type="gramStart"/>
      <w:r w:rsidR="00543FD5">
        <w:rPr>
          <w:rFonts w:ascii="Times New Roman" w:hAnsi="Times New Roman"/>
          <w:sz w:val="20"/>
          <w:lang w:val="en-GB"/>
        </w:rPr>
        <w:t>e.g.</w:t>
      </w:r>
      <w:proofErr w:type="gramEnd"/>
      <w:r w:rsidR="00543FD5">
        <w:rPr>
          <w:rFonts w:ascii="Times New Roman" w:hAnsi="Times New Roman"/>
          <w:sz w:val="20"/>
          <w:lang w:val="en-GB"/>
        </w:rPr>
        <w:t xml:space="preserve"> based on HSDN indication in SIB1 would not be usable for pre-Rel-17 UEs. </w:t>
      </w:r>
    </w:p>
    <w:p w14:paraId="4B2982F1" w14:textId="77777777" w:rsidR="00543FD5" w:rsidRDefault="00543FD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77294F91" w14:textId="77777777" w:rsidR="00543FD5" w:rsidRPr="00543FD5" w:rsidRDefault="00543FD5" w:rsidP="00CD4C7B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43FD5">
        <w:rPr>
          <w:rFonts w:ascii="Times New Roman" w:hAnsi="Times New Roman"/>
          <w:b/>
          <w:bCs/>
          <w:sz w:val="20"/>
          <w:lang w:val="en-GB"/>
        </w:rPr>
        <w:t xml:space="preserve">Observation 2: Any HSDN-specific </w:t>
      </w:r>
      <w:proofErr w:type="spellStart"/>
      <w:r w:rsidRPr="00543FD5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543FD5">
        <w:rPr>
          <w:rFonts w:ascii="Times New Roman" w:hAnsi="Times New Roman"/>
          <w:b/>
          <w:bCs/>
          <w:sz w:val="20"/>
          <w:lang w:val="en-GB"/>
        </w:rPr>
        <w:t xml:space="preserve"> configuration would not work for pre-Rel-17 UEs and Rel-17 UEs of later release that are not HSDN capable.</w:t>
      </w:r>
    </w:p>
    <w:p w14:paraId="1D162EE7" w14:textId="77777777" w:rsidR="00543FD5" w:rsidRDefault="00543FD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0B2E84E7" w14:textId="2E268CE3" w:rsidR="008D5234" w:rsidRDefault="00543FD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The best option for the operator therefore seems to use </w:t>
      </w:r>
      <w:proofErr w:type="spellStart"/>
      <w:r>
        <w:rPr>
          <w:rFonts w:ascii="Times New Roman" w:hAnsi="Times New Roman"/>
          <w:sz w:val="20"/>
          <w:lang w:val="en-GB"/>
        </w:rPr>
        <w:t>QoE</w:t>
      </w:r>
      <w:proofErr w:type="spellEnd"/>
      <w:r>
        <w:rPr>
          <w:rFonts w:ascii="Times New Roman" w:hAnsi="Times New Roman"/>
          <w:sz w:val="20"/>
          <w:lang w:val="en-GB"/>
        </w:rPr>
        <w:t xml:space="preserve"> configuration including area scope targeting HSDN cells or other cells relevant for the high-speed area. This can be </w:t>
      </w:r>
      <w:proofErr w:type="gramStart"/>
      <w:r>
        <w:rPr>
          <w:rFonts w:ascii="Times New Roman" w:hAnsi="Times New Roman"/>
          <w:sz w:val="20"/>
          <w:lang w:val="en-GB"/>
        </w:rPr>
        <w:t>e.g.</w:t>
      </w:r>
      <w:proofErr w:type="gramEnd"/>
      <w:r>
        <w:rPr>
          <w:rFonts w:ascii="Times New Roman" w:hAnsi="Times New Roman"/>
          <w:sz w:val="20"/>
          <w:lang w:val="en-GB"/>
        </w:rPr>
        <w:t xml:space="preserve"> a list of cells or list of </w:t>
      </w:r>
      <w:proofErr w:type="spellStart"/>
      <w:r>
        <w:rPr>
          <w:rFonts w:ascii="Times New Roman" w:hAnsi="Times New Roman"/>
          <w:sz w:val="20"/>
          <w:lang w:val="en-GB"/>
        </w:rPr>
        <w:t>TAs.</w:t>
      </w:r>
      <w:proofErr w:type="spellEnd"/>
      <w:r>
        <w:rPr>
          <w:rFonts w:ascii="Times New Roman" w:hAnsi="Times New Roman"/>
          <w:sz w:val="20"/>
          <w:lang w:val="en-GB"/>
        </w:rPr>
        <w:t xml:space="preserve"> In case specific slices are used for the purpose of serving high mobility UEs, also slice scope can be used for this purpose.</w:t>
      </w:r>
      <w:r w:rsidR="003C6043">
        <w:rPr>
          <w:rFonts w:ascii="Times New Roman" w:hAnsi="Times New Roman"/>
          <w:sz w:val="20"/>
          <w:lang w:val="en-GB"/>
        </w:rPr>
        <w:t xml:space="preserve"> </w:t>
      </w:r>
      <w:proofErr w:type="gramStart"/>
      <w:r w:rsidR="003C6043">
        <w:rPr>
          <w:rFonts w:ascii="Times New Roman" w:hAnsi="Times New Roman"/>
          <w:sz w:val="20"/>
          <w:lang w:val="en-GB"/>
        </w:rPr>
        <w:t>Therefore</w:t>
      </w:r>
      <w:proofErr w:type="gramEnd"/>
      <w:r w:rsidR="003C6043">
        <w:rPr>
          <w:rFonts w:ascii="Times New Roman" w:hAnsi="Times New Roman"/>
          <w:sz w:val="20"/>
          <w:lang w:val="en-GB"/>
        </w:rPr>
        <w:t xml:space="preserve"> we believe that no </w:t>
      </w:r>
      <w:r w:rsidR="003C6043" w:rsidRPr="003C6043">
        <w:rPr>
          <w:rFonts w:ascii="Times New Roman" w:hAnsi="Times New Roman"/>
          <w:sz w:val="20"/>
          <w:lang w:val="en-GB"/>
        </w:rPr>
        <w:t>enhancements are needed to support the high mobility scenario requirement</w:t>
      </w:r>
      <w:r w:rsidR="003C6043">
        <w:rPr>
          <w:rFonts w:ascii="Times New Roman" w:hAnsi="Times New Roman"/>
          <w:sz w:val="20"/>
          <w:lang w:val="en-GB"/>
        </w:rPr>
        <w:t>.</w:t>
      </w:r>
    </w:p>
    <w:p w14:paraId="2CBBC157" w14:textId="39F4E206" w:rsidR="00543FD5" w:rsidRDefault="00543FD5" w:rsidP="00CD4C7B">
      <w:pPr>
        <w:pStyle w:val="00BodyText"/>
        <w:spacing w:after="0"/>
        <w:rPr>
          <w:rFonts w:ascii="Times New Roman" w:hAnsi="Times New Roman"/>
          <w:sz w:val="20"/>
          <w:lang w:val="en-GB"/>
        </w:rPr>
      </w:pPr>
    </w:p>
    <w:p w14:paraId="62F7DA61" w14:textId="77777777" w:rsidR="003C6043" w:rsidRPr="003C6043" w:rsidRDefault="003C6043" w:rsidP="003C604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C6043">
        <w:rPr>
          <w:rFonts w:ascii="Times New Roman" w:hAnsi="Times New Roman"/>
          <w:b/>
          <w:bCs/>
          <w:sz w:val="20"/>
          <w:lang w:val="en-GB"/>
        </w:rPr>
        <w:t xml:space="preserve">Proposal: </w:t>
      </w:r>
      <w:r>
        <w:rPr>
          <w:rFonts w:ascii="Times New Roman" w:hAnsi="Times New Roman"/>
          <w:b/>
          <w:bCs/>
          <w:sz w:val="20"/>
          <w:lang w:val="en-GB"/>
        </w:rPr>
        <w:t>Area scope or slice scope can be used</w:t>
      </w:r>
      <w:r w:rsidRPr="003C6043">
        <w:rPr>
          <w:rFonts w:ascii="Times New Roman" w:hAnsi="Times New Roman"/>
          <w:b/>
          <w:bCs/>
          <w:sz w:val="20"/>
          <w:lang w:val="en-GB"/>
        </w:rPr>
        <w:t xml:space="preserve"> to support the high mobility scenario </w:t>
      </w:r>
      <w:proofErr w:type="gramStart"/>
      <w:r w:rsidRPr="003C6043">
        <w:rPr>
          <w:rFonts w:ascii="Times New Roman" w:hAnsi="Times New Roman"/>
          <w:b/>
          <w:bCs/>
          <w:sz w:val="20"/>
          <w:lang w:val="en-GB"/>
        </w:rPr>
        <w:t>requirement</w:t>
      </w:r>
      <w:r>
        <w:rPr>
          <w:rFonts w:ascii="Times New Roman" w:hAnsi="Times New Roman"/>
          <w:b/>
          <w:bCs/>
          <w:sz w:val="20"/>
          <w:lang w:val="en-GB"/>
        </w:rPr>
        <w:t>,</w:t>
      </w:r>
      <w:proofErr w:type="gramEnd"/>
      <w:r>
        <w:rPr>
          <w:rFonts w:ascii="Times New Roman" w:hAnsi="Times New Roman"/>
          <w:b/>
          <w:bCs/>
          <w:sz w:val="20"/>
          <w:lang w:val="en-GB"/>
        </w:rPr>
        <w:t xml:space="preserve"> no enhancements are needed</w:t>
      </w:r>
      <w:r w:rsidRPr="003C6043">
        <w:rPr>
          <w:rFonts w:ascii="Times New Roman" w:hAnsi="Times New Roman"/>
          <w:b/>
          <w:bCs/>
          <w:sz w:val="20"/>
          <w:lang w:val="en-GB"/>
        </w:rPr>
        <w:t>.</w:t>
      </w:r>
    </w:p>
    <w:p w14:paraId="0D110258" w14:textId="77777777" w:rsidR="00CD4C7B" w:rsidRPr="006E13D1" w:rsidRDefault="00972FD7" w:rsidP="00CD4C7B">
      <w:pPr>
        <w:pStyle w:val="Heading1"/>
      </w:pPr>
      <w:r>
        <w:t>3</w:t>
      </w:r>
      <w:r w:rsidR="00CD4C7B" w:rsidRPr="006E13D1">
        <w:tab/>
      </w:r>
      <w:r>
        <w:t>Conclusion</w:t>
      </w:r>
    </w:p>
    <w:p w14:paraId="06045380" w14:textId="1D99C173" w:rsidR="003C6043" w:rsidRDefault="003C6043" w:rsidP="003C604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8D5234">
        <w:rPr>
          <w:rFonts w:ascii="Times New Roman" w:hAnsi="Times New Roman"/>
          <w:b/>
          <w:bCs/>
          <w:sz w:val="20"/>
          <w:lang w:val="en-GB"/>
        </w:rPr>
        <w:t xml:space="preserve">Observation 1: The legacy Mobility State mechanism inherited from LTE </w:t>
      </w:r>
      <w:r w:rsidR="00B34EFE">
        <w:rPr>
          <w:rFonts w:ascii="Times New Roman" w:hAnsi="Times New Roman"/>
          <w:b/>
          <w:bCs/>
          <w:sz w:val="20"/>
          <w:lang w:val="en-GB"/>
        </w:rPr>
        <w:t>may not be sufficiently</w:t>
      </w:r>
      <w:r w:rsidRPr="008D5234">
        <w:rPr>
          <w:rFonts w:ascii="Times New Roman" w:hAnsi="Times New Roman"/>
          <w:b/>
          <w:bCs/>
          <w:sz w:val="20"/>
          <w:lang w:val="en-GB"/>
        </w:rPr>
        <w:t xml:space="preserve"> reliable for the high mobility scenarios targeted by the ongoing Rel-18 work for </w:t>
      </w:r>
      <w:proofErr w:type="spellStart"/>
      <w:r w:rsidRPr="008D5234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8D5234">
        <w:rPr>
          <w:rFonts w:ascii="Times New Roman" w:hAnsi="Times New Roman"/>
          <w:b/>
          <w:bCs/>
          <w:sz w:val="20"/>
          <w:lang w:val="en-GB"/>
        </w:rPr>
        <w:t>.</w:t>
      </w:r>
    </w:p>
    <w:p w14:paraId="7247295A" w14:textId="2F0A60DA" w:rsidR="003C6043" w:rsidRDefault="003C6043" w:rsidP="003C604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1688DC26" w14:textId="77777777" w:rsidR="003C6043" w:rsidRPr="00543FD5" w:rsidRDefault="003C6043" w:rsidP="003C604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543FD5">
        <w:rPr>
          <w:rFonts w:ascii="Times New Roman" w:hAnsi="Times New Roman"/>
          <w:b/>
          <w:bCs/>
          <w:sz w:val="20"/>
          <w:lang w:val="en-GB"/>
        </w:rPr>
        <w:t xml:space="preserve">Observation 2: Any HSDN-specific </w:t>
      </w:r>
      <w:proofErr w:type="spellStart"/>
      <w:r w:rsidRPr="00543FD5">
        <w:rPr>
          <w:rFonts w:ascii="Times New Roman" w:hAnsi="Times New Roman"/>
          <w:b/>
          <w:bCs/>
          <w:sz w:val="20"/>
          <w:lang w:val="en-GB"/>
        </w:rPr>
        <w:t>QoE</w:t>
      </w:r>
      <w:proofErr w:type="spellEnd"/>
      <w:r w:rsidRPr="00543FD5">
        <w:rPr>
          <w:rFonts w:ascii="Times New Roman" w:hAnsi="Times New Roman"/>
          <w:b/>
          <w:bCs/>
          <w:sz w:val="20"/>
          <w:lang w:val="en-GB"/>
        </w:rPr>
        <w:t xml:space="preserve"> configuration would not work for pre-Rel-17 UEs and Rel-17 UEs of later release that are not HSDN capable.</w:t>
      </w:r>
    </w:p>
    <w:p w14:paraId="3C32481D" w14:textId="7F9235B0" w:rsidR="003C6043" w:rsidRDefault="003C6043" w:rsidP="003C604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</w:p>
    <w:p w14:paraId="4E264E31" w14:textId="56117818" w:rsidR="003C6043" w:rsidRPr="003C6043" w:rsidRDefault="003C6043" w:rsidP="003C6043">
      <w:pPr>
        <w:pStyle w:val="00BodyText"/>
        <w:spacing w:after="0"/>
        <w:rPr>
          <w:rFonts w:ascii="Times New Roman" w:hAnsi="Times New Roman"/>
          <w:b/>
          <w:bCs/>
          <w:sz w:val="20"/>
          <w:lang w:val="en-GB"/>
        </w:rPr>
      </w:pPr>
      <w:r w:rsidRPr="003C6043">
        <w:rPr>
          <w:rFonts w:ascii="Times New Roman" w:hAnsi="Times New Roman"/>
          <w:b/>
          <w:bCs/>
          <w:sz w:val="20"/>
          <w:lang w:val="en-GB"/>
        </w:rPr>
        <w:t xml:space="preserve">Proposal: </w:t>
      </w:r>
      <w:r>
        <w:rPr>
          <w:rFonts w:ascii="Times New Roman" w:hAnsi="Times New Roman"/>
          <w:b/>
          <w:bCs/>
          <w:sz w:val="20"/>
          <w:lang w:val="en-GB"/>
        </w:rPr>
        <w:t>Area scope or slice scope can be used</w:t>
      </w:r>
      <w:r w:rsidRPr="003C6043">
        <w:rPr>
          <w:rFonts w:ascii="Times New Roman" w:hAnsi="Times New Roman"/>
          <w:b/>
          <w:bCs/>
          <w:sz w:val="20"/>
          <w:lang w:val="en-GB"/>
        </w:rPr>
        <w:t xml:space="preserve"> to support the high mobility scenario </w:t>
      </w:r>
      <w:proofErr w:type="gramStart"/>
      <w:r w:rsidRPr="003C6043">
        <w:rPr>
          <w:rFonts w:ascii="Times New Roman" w:hAnsi="Times New Roman"/>
          <w:b/>
          <w:bCs/>
          <w:sz w:val="20"/>
          <w:lang w:val="en-GB"/>
        </w:rPr>
        <w:t>requirement</w:t>
      </w:r>
      <w:r>
        <w:rPr>
          <w:rFonts w:ascii="Times New Roman" w:hAnsi="Times New Roman"/>
          <w:b/>
          <w:bCs/>
          <w:sz w:val="20"/>
          <w:lang w:val="en-GB"/>
        </w:rPr>
        <w:t>,</w:t>
      </w:r>
      <w:proofErr w:type="gramEnd"/>
      <w:r>
        <w:rPr>
          <w:rFonts w:ascii="Times New Roman" w:hAnsi="Times New Roman"/>
          <w:b/>
          <w:bCs/>
          <w:sz w:val="20"/>
          <w:lang w:val="en-GB"/>
        </w:rPr>
        <w:t xml:space="preserve"> no enhancements are needed</w:t>
      </w:r>
      <w:r w:rsidRPr="003C6043">
        <w:rPr>
          <w:rFonts w:ascii="Times New Roman" w:hAnsi="Times New Roman"/>
          <w:b/>
          <w:bCs/>
          <w:sz w:val="20"/>
          <w:lang w:val="en-GB"/>
        </w:rPr>
        <w:t>.</w:t>
      </w:r>
    </w:p>
    <w:p w14:paraId="1DD4FB92" w14:textId="77777777" w:rsidR="00CD4C7B" w:rsidRPr="006E13D1" w:rsidRDefault="00CD4C7B" w:rsidP="00CD4C7B"/>
    <w:p w14:paraId="0EC3E131" w14:textId="77777777" w:rsidR="00CD4C7B" w:rsidRDefault="00CD4C7B" w:rsidP="00CD4C7B"/>
    <w:p w14:paraId="0BA2BD6A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A33B" w14:textId="77777777" w:rsidR="00324C94" w:rsidRDefault="00324C94">
      <w:r>
        <w:separator/>
      </w:r>
    </w:p>
  </w:endnote>
  <w:endnote w:type="continuationSeparator" w:id="0">
    <w:p w14:paraId="1DC82521" w14:textId="77777777" w:rsidR="00324C94" w:rsidRDefault="00324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2C3C0" w14:textId="77777777" w:rsidR="00324C94" w:rsidRDefault="00324C94">
      <w:r>
        <w:separator/>
      </w:r>
    </w:p>
  </w:footnote>
  <w:footnote w:type="continuationSeparator" w:id="0">
    <w:p w14:paraId="4DB7EACC" w14:textId="77777777" w:rsidR="00324C94" w:rsidRDefault="00324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4A834B0"/>
    <w:multiLevelType w:val="hybridMultilevel"/>
    <w:tmpl w:val="06207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16B73"/>
    <w:rsid w:val="00033397"/>
    <w:rsid w:val="000342C7"/>
    <w:rsid w:val="00040095"/>
    <w:rsid w:val="0005563E"/>
    <w:rsid w:val="00080512"/>
    <w:rsid w:val="00083F0D"/>
    <w:rsid w:val="000B7BCF"/>
    <w:rsid w:val="000C556D"/>
    <w:rsid w:val="000D376D"/>
    <w:rsid w:val="000D58AB"/>
    <w:rsid w:val="001075B7"/>
    <w:rsid w:val="00111053"/>
    <w:rsid w:val="00125824"/>
    <w:rsid w:val="001370F2"/>
    <w:rsid w:val="001549DD"/>
    <w:rsid w:val="00194CD0"/>
    <w:rsid w:val="001B08B3"/>
    <w:rsid w:val="001C4281"/>
    <w:rsid w:val="001D0D3F"/>
    <w:rsid w:val="001E39D1"/>
    <w:rsid w:val="001F168B"/>
    <w:rsid w:val="001F70B7"/>
    <w:rsid w:val="00225F6D"/>
    <w:rsid w:val="0022606D"/>
    <w:rsid w:val="002305DD"/>
    <w:rsid w:val="00242C2A"/>
    <w:rsid w:val="00243BC7"/>
    <w:rsid w:val="002623FC"/>
    <w:rsid w:val="002747EC"/>
    <w:rsid w:val="002855BF"/>
    <w:rsid w:val="002953B2"/>
    <w:rsid w:val="002B0258"/>
    <w:rsid w:val="002E1692"/>
    <w:rsid w:val="002F0D22"/>
    <w:rsid w:val="002F7F39"/>
    <w:rsid w:val="00304169"/>
    <w:rsid w:val="003172DC"/>
    <w:rsid w:val="00324C94"/>
    <w:rsid w:val="00326069"/>
    <w:rsid w:val="003454FC"/>
    <w:rsid w:val="0035462D"/>
    <w:rsid w:val="00363177"/>
    <w:rsid w:val="003702F7"/>
    <w:rsid w:val="003B3FB3"/>
    <w:rsid w:val="003C4E37"/>
    <w:rsid w:val="003C6043"/>
    <w:rsid w:val="003E1194"/>
    <w:rsid w:val="003E16BE"/>
    <w:rsid w:val="003E7223"/>
    <w:rsid w:val="00401855"/>
    <w:rsid w:val="00464695"/>
    <w:rsid w:val="004C5539"/>
    <w:rsid w:val="004D2AEE"/>
    <w:rsid w:val="004D3578"/>
    <w:rsid w:val="004D380D"/>
    <w:rsid w:val="004D3F58"/>
    <w:rsid w:val="004D5E47"/>
    <w:rsid w:val="004E213A"/>
    <w:rsid w:val="004E21FC"/>
    <w:rsid w:val="00503171"/>
    <w:rsid w:val="005153FE"/>
    <w:rsid w:val="005240A4"/>
    <w:rsid w:val="00531C12"/>
    <w:rsid w:val="00534DA0"/>
    <w:rsid w:val="005358B1"/>
    <w:rsid w:val="00540B31"/>
    <w:rsid w:val="00543E6C"/>
    <w:rsid w:val="00543FD5"/>
    <w:rsid w:val="00544635"/>
    <w:rsid w:val="00551CDB"/>
    <w:rsid w:val="00565087"/>
    <w:rsid w:val="0056573F"/>
    <w:rsid w:val="00565BE9"/>
    <w:rsid w:val="00571CE2"/>
    <w:rsid w:val="005A27D5"/>
    <w:rsid w:val="005A4971"/>
    <w:rsid w:val="005B1232"/>
    <w:rsid w:val="005B2EEF"/>
    <w:rsid w:val="005D4274"/>
    <w:rsid w:val="00605E3E"/>
    <w:rsid w:val="00606DA9"/>
    <w:rsid w:val="00611566"/>
    <w:rsid w:val="00611D47"/>
    <w:rsid w:val="00656E1E"/>
    <w:rsid w:val="006604E4"/>
    <w:rsid w:val="006B36A5"/>
    <w:rsid w:val="006C54B5"/>
    <w:rsid w:val="006D1E24"/>
    <w:rsid w:val="00702BDF"/>
    <w:rsid w:val="007318F1"/>
    <w:rsid w:val="00734A5B"/>
    <w:rsid w:val="00741EC5"/>
    <w:rsid w:val="00743525"/>
    <w:rsid w:val="00744E76"/>
    <w:rsid w:val="007476DB"/>
    <w:rsid w:val="0075565E"/>
    <w:rsid w:val="00757D40"/>
    <w:rsid w:val="00774846"/>
    <w:rsid w:val="00781F0F"/>
    <w:rsid w:val="0078727C"/>
    <w:rsid w:val="00797D4B"/>
    <w:rsid w:val="007C095F"/>
    <w:rsid w:val="007D5902"/>
    <w:rsid w:val="007F2676"/>
    <w:rsid w:val="00802106"/>
    <w:rsid w:val="008028A4"/>
    <w:rsid w:val="00806520"/>
    <w:rsid w:val="00830106"/>
    <w:rsid w:val="0083629D"/>
    <w:rsid w:val="00840916"/>
    <w:rsid w:val="00853EDD"/>
    <w:rsid w:val="008604EE"/>
    <w:rsid w:val="0087401D"/>
    <w:rsid w:val="008768CA"/>
    <w:rsid w:val="00880559"/>
    <w:rsid w:val="008C2835"/>
    <w:rsid w:val="008C490B"/>
    <w:rsid w:val="008D5234"/>
    <w:rsid w:val="008E3CD0"/>
    <w:rsid w:val="0090271F"/>
    <w:rsid w:val="00903D8C"/>
    <w:rsid w:val="00942EC2"/>
    <w:rsid w:val="00954BCB"/>
    <w:rsid w:val="00961B32"/>
    <w:rsid w:val="00971683"/>
    <w:rsid w:val="00972FD7"/>
    <w:rsid w:val="00974BB0"/>
    <w:rsid w:val="009A6E4F"/>
    <w:rsid w:val="009C4D5C"/>
    <w:rsid w:val="009D0A28"/>
    <w:rsid w:val="009E618D"/>
    <w:rsid w:val="009F3B54"/>
    <w:rsid w:val="009F7E6E"/>
    <w:rsid w:val="00A10F02"/>
    <w:rsid w:val="00A53724"/>
    <w:rsid w:val="00A814E6"/>
    <w:rsid w:val="00A82346"/>
    <w:rsid w:val="00A8361A"/>
    <w:rsid w:val="00A9671C"/>
    <w:rsid w:val="00AB6AAB"/>
    <w:rsid w:val="00AD4BCF"/>
    <w:rsid w:val="00AF4A8E"/>
    <w:rsid w:val="00AF78D5"/>
    <w:rsid w:val="00B03359"/>
    <w:rsid w:val="00B1063A"/>
    <w:rsid w:val="00B15449"/>
    <w:rsid w:val="00B21241"/>
    <w:rsid w:val="00B34EFE"/>
    <w:rsid w:val="00B46707"/>
    <w:rsid w:val="00B746AA"/>
    <w:rsid w:val="00B9781E"/>
    <w:rsid w:val="00BF79F1"/>
    <w:rsid w:val="00C03035"/>
    <w:rsid w:val="00C275BC"/>
    <w:rsid w:val="00C33079"/>
    <w:rsid w:val="00C365F1"/>
    <w:rsid w:val="00C43B31"/>
    <w:rsid w:val="00C50536"/>
    <w:rsid w:val="00C55EB7"/>
    <w:rsid w:val="00CA3D0C"/>
    <w:rsid w:val="00CB6651"/>
    <w:rsid w:val="00CB6887"/>
    <w:rsid w:val="00CD4C7B"/>
    <w:rsid w:val="00D22038"/>
    <w:rsid w:val="00D32372"/>
    <w:rsid w:val="00D45717"/>
    <w:rsid w:val="00D738D6"/>
    <w:rsid w:val="00D80795"/>
    <w:rsid w:val="00D87E00"/>
    <w:rsid w:val="00D908B4"/>
    <w:rsid w:val="00D9134D"/>
    <w:rsid w:val="00D97CD9"/>
    <w:rsid w:val="00DA7A03"/>
    <w:rsid w:val="00DB1818"/>
    <w:rsid w:val="00DC309B"/>
    <w:rsid w:val="00DC4DA2"/>
    <w:rsid w:val="00DE1406"/>
    <w:rsid w:val="00E07838"/>
    <w:rsid w:val="00E340BC"/>
    <w:rsid w:val="00E51F8B"/>
    <w:rsid w:val="00E62835"/>
    <w:rsid w:val="00E77645"/>
    <w:rsid w:val="00E852FF"/>
    <w:rsid w:val="00E90ABE"/>
    <w:rsid w:val="00EA1D56"/>
    <w:rsid w:val="00EA22F8"/>
    <w:rsid w:val="00EC4A25"/>
    <w:rsid w:val="00EE0A1E"/>
    <w:rsid w:val="00F025A2"/>
    <w:rsid w:val="00F2026E"/>
    <w:rsid w:val="00F2210A"/>
    <w:rsid w:val="00F37743"/>
    <w:rsid w:val="00F54A3D"/>
    <w:rsid w:val="00F653B8"/>
    <w:rsid w:val="00F76F8F"/>
    <w:rsid w:val="00FA1266"/>
    <w:rsid w:val="00FB2BEA"/>
    <w:rsid w:val="00FC1192"/>
    <w:rsid w:val="00FC53BF"/>
    <w:rsid w:val="00FC6713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330CC9"/>
  <w15:chartTrackingRefBased/>
  <w15:docId w15:val="{1272C275-BF15-47AA-A13B-5FC1D1CEC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8D523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43FD5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467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6707"/>
  </w:style>
  <w:style w:type="character" w:customStyle="1" w:styleId="CommentTextChar">
    <w:name w:val="Comment Text Char"/>
    <w:link w:val="CommentText"/>
    <w:rsid w:val="00B4670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46707"/>
    <w:rPr>
      <w:b/>
      <w:bCs/>
    </w:rPr>
  </w:style>
  <w:style w:type="character" w:customStyle="1" w:styleId="CommentSubjectChar">
    <w:name w:val="Comment Subject Char"/>
    <w:link w:val="CommentSubject"/>
    <w:rsid w:val="00B4670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5AIRPNAIUNRU-1156379521-3261</_dlc_DocId>
    <_dlc_DocIdUrl xmlns="71c5aaf6-e6ce-465b-b873-5148d2a4c105">
      <Url>https://nokia.sharepoint.com/sites/c5g/e2earch/_layouts/15/DocIdRedir.aspx?ID=5AIRPNAIUNRU-1156379521-3261</Url>
      <Description>5AIRPNAIUNRU-1156379521-3261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38009F27-3EBA-43BE-B89B-70F8509DD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E35656-6F02-4B4F-A456-7353D114E93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343936D-F8FA-4B15-9598-557A2F33A7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295A86-074F-4C0D-9E55-E6FFF5FEB8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5E3AF75-648F-45AA-8AF3-9F3EB54A8FE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121</TotalTime>
  <Pages>2</Pages>
  <Words>610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3964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Hakon</cp:lastModifiedBy>
  <cp:revision>38</cp:revision>
  <dcterms:created xsi:type="dcterms:W3CDTF">2019-06-29T13:33:00Z</dcterms:created>
  <dcterms:modified xsi:type="dcterms:W3CDTF">2022-11-03T23:58:00Z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4721fd61-459c-4402-b52f-4a14e0609bc5</vt:lpwstr>
  </property>
</Properties>
</file>